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5"/>
        <w:gridCol w:w="4685"/>
      </w:tblGrid>
      <w:tr w:rsidR="00BC094E" w:rsidTr="001C5AD5">
        <w:trPr>
          <w:cantSplit/>
        </w:trPr>
        <w:tc>
          <w:tcPr>
            <w:tcW w:w="6515" w:type="dxa"/>
          </w:tcPr>
          <w:p w:rsidR="00BC094E" w:rsidRDefault="00BC094E" w:rsidP="001C5AD5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5541FAE" wp14:editId="07500233">
                  <wp:extent cx="2623327" cy="843148"/>
                  <wp:effectExtent l="0" t="0" r="5715" b="0"/>
                  <wp:docPr id="1" name="Image 1" descr="C:\Users\paris\Desktop\logo-icone_snep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is\Desktop\logo-icone_snep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86" cy="85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4E" w:rsidRDefault="00BC094E" w:rsidP="001C5AD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Syndicat National</w:t>
            </w:r>
          </w:p>
          <w:p w:rsidR="00BC094E" w:rsidRDefault="00BC094E" w:rsidP="001C5AD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l'Education</w:t>
            </w:r>
            <w:r>
              <w:rPr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Physique</w:t>
            </w:r>
          </w:p>
          <w:p w:rsidR="00BC094E" w:rsidRDefault="00BC094E" w:rsidP="001C5AD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 l'Enseignement Public</w:t>
            </w:r>
          </w:p>
          <w:p w:rsidR="00BC094E" w:rsidRDefault="00BC094E" w:rsidP="001C5AD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32"/>
              </w:rPr>
              <w:t>F</w:t>
            </w:r>
            <w:r>
              <w:rPr>
                <w:rFonts w:ascii="Century Gothic" w:hAnsi="Century Gothic"/>
                <w:sz w:val="20"/>
              </w:rPr>
              <w:t xml:space="preserve">édération </w:t>
            </w:r>
            <w:r>
              <w:rPr>
                <w:rFonts w:ascii="Century Gothic" w:hAnsi="Century Gothic"/>
                <w:b/>
                <w:sz w:val="32"/>
              </w:rPr>
              <w:t>S</w:t>
            </w:r>
            <w:r>
              <w:rPr>
                <w:rFonts w:ascii="Century Gothic" w:hAnsi="Century Gothic"/>
                <w:sz w:val="20"/>
              </w:rPr>
              <w:t xml:space="preserve">yndicale </w:t>
            </w:r>
            <w:r>
              <w:rPr>
                <w:rFonts w:ascii="Century Gothic" w:hAnsi="Century Gothic"/>
                <w:b/>
                <w:sz w:val="32"/>
              </w:rPr>
              <w:t>U</w:t>
            </w:r>
            <w:r>
              <w:rPr>
                <w:rFonts w:ascii="Century Gothic" w:hAnsi="Century Gothic"/>
                <w:sz w:val="20"/>
              </w:rPr>
              <w:t>nitaire</w:t>
            </w:r>
          </w:p>
          <w:p w:rsidR="00BC094E" w:rsidRDefault="00BC094E" w:rsidP="001C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BC094E" w:rsidRDefault="00BC094E" w:rsidP="001C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685" w:type="dxa"/>
          </w:tcPr>
          <w:p w:rsidR="00BC094E" w:rsidRDefault="00BC094E" w:rsidP="001C5AD5">
            <w:pPr>
              <w:spacing w:after="0" w:line="240" w:lineRule="auto"/>
            </w:pPr>
            <w:r>
              <w:t xml:space="preserve">Paris, le </w:t>
            </w:r>
            <w:r w:rsidR="00BD673F">
              <w:t>28 J</w:t>
            </w:r>
            <w:r w:rsidR="00E14565">
              <w:t>uin</w:t>
            </w:r>
            <w:r w:rsidR="00BD673F">
              <w:t xml:space="preserve"> 2018</w:t>
            </w:r>
          </w:p>
          <w:p w:rsidR="00BC094E" w:rsidRDefault="00BC094E" w:rsidP="001C5AD5">
            <w:pPr>
              <w:spacing w:after="0" w:line="240" w:lineRule="auto"/>
              <w:rPr>
                <w:sz w:val="24"/>
              </w:rPr>
            </w:pPr>
          </w:p>
          <w:p w:rsidR="00BC094E" w:rsidRDefault="00BC094E" w:rsidP="001C5AD5">
            <w:pPr>
              <w:spacing w:after="0" w:line="240" w:lineRule="auto"/>
            </w:pPr>
          </w:p>
          <w:p w:rsidR="00BC094E" w:rsidRDefault="00BC094E" w:rsidP="001C5AD5">
            <w:pPr>
              <w:spacing w:after="0" w:line="240" w:lineRule="auto"/>
            </w:pPr>
          </w:p>
          <w:p w:rsidR="00BC094E" w:rsidRDefault="00BC094E" w:rsidP="001C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:rsidR="00DA3BF5" w:rsidRDefault="00DA3BF5" w:rsidP="00DA3BF5">
      <w:pPr>
        <w:spacing w:after="0" w:line="240" w:lineRule="auto"/>
        <w:jc w:val="both"/>
      </w:pPr>
      <w:r>
        <w:t>DECLARATION DU SNEP/FSU au CRUNSS du 28/6/2018</w:t>
      </w:r>
    </w:p>
    <w:p w:rsidR="00DA3BF5" w:rsidRDefault="00DA3BF5" w:rsidP="00DA3BF5">
      <w:pPr>
        <w:spacing w:after="0" w:line="240" w:lineRule="auto"/>
        <w:jc w:val="both"/>
      </w:pPr>
    </w:p>
    <w:p w:rsidR="00DA3BF5" w:rsidRDefault="00DA3BF5" w:rsidP="00DA3BF5">
      <w:pPr>
        <w:spacing w:after="0" w:line="240" w:lineRule="auto"/>
        <w:jc w:val="both"/>
      </w:pPr>
    </w:p>
    <w:p w:rsidR="00DA3BF5" w:rsidRDefault="00DA3BF5" w:rsidP="007656B8">
      <w:pPr>
        <w:spacing w:after="0" w:line="240" w:lineRule="auto"/>
        <w:ind w:left="-284"/>
        <w:jc w:val="both"/>
      </w:pPr>
      <w:r>
        <w:t>Nous vous prions d’excuser le 2</w:t>
      </w:r>
      <w:r w:rsidRPr="00BA3309">
        <w:rPr>
          <w:vertAlign w:val="superscript"/>
        </w:rPr>
        <w:t>ème</w:t>
      </w:r>
      <w:r>
        <w:t xml:space="preserve"> représentant du SNEP/FSU pour son absence, les collègues sont aussi pris dans leurs établissements.</w:t>
      </w:r>
    </w:p>
    <w:p w:rsidR="00DA3BF5" w:rsidRDefault="000B4966" w:rsidP="007656B8">
      <w:pPr>
        <w:spacing w:after="0" w:line="240" w:lineRule="auto"/>
        <w:ind w:left="-284"/>
        <w:jc w:val="both"/>
      </w:pPr>
      <w:r>
        <w:t>Nous dev</w:t>
      </w:r>
      <w:r w:rsidR="00DA3BF5">
        <w:t>ons commencer cette intervention par le contexte d’inquiétude générale au sujet de l’avenir :</w:t>
      </w:r>
    </w:p>
    <w:p w:rsidR="00DA3BF5" w:rsidRDefault="00DA3BF5" w:rsidP="007656B8">
      <w:pPr>
        <w:spacing w:after="0" w:line="240" w:lineRule="auto"/>
        <w:ind w:left="-284"/>
        <w:jc w:val="both"/>
      </w:pPr>
      <w:r>
        <w:t>* l’annonce de la remise en cause du dialogue social dans la Fonction Publique</w:t>
      </w:r>
      <w:r w:rsidR="000B4966">
        <w:t>,</w:t>
      </w:r>
    </w:p>
    <w:p w:rsidR="00DA3BF5" w:rsidRDefault="00DA3BF5" w:rsidP="007656B8">
      <w:pPr>
        <w:spacing w:after="0" w:line="240" w:lineRule="auto"/>
        <w:ind w:left="-284"/>
        <w:jc w:val="both"/>
      </w:pPr>
      <w:r>
        <w:t>* l’ignorance des avis rendus lors des instances consultatives (CSE, CTM)</w:t>
      </w:r>
      <w:r w:rsidR="000B4966">
        <w:t>.</w:t>
      </w:r>
    </w:p>
    <w:p w:rsidR="00DA3BF5" w:rsidRDefault="00DA3BF5" w:rsidP="007656B8">
      <w:pPr>
        <w:spacing w:after="0" w:line="240" w:lineRule="auto"/>
        <w:ind w:left="-284"/>
        <w:jc w:val="both"/>
      </w:pPr>
      <w:r>
        <w:t>L’école est dans une nouvelle phase de réformes aigue</w:t>
      </w:r>
      <w:r w:rsidR="000B4966">
        <w:t>s</w:t>
      </w:r>
      <w:r>
        <w:t>. Les freins au développement du sport scolaire viennent de la place faite à l’EPS. Moins de postes d’enseignants d’EPS donnent moins de forfaits AS.</w:t>
      </w:r>
    </w:p>
    <w:p w:rsidR="00DA3BF5" w:rsidRDefault="00DA3BF5" w:rsidP="007656B8">
      <w:pPr>
        <w:spacing w:after="0" w:line="240" w:lineRule="auto"/>
        <w:ind w:left="-284"/>
        <w:jc w:val="both"/>
      </w:pPr>
      <w:r>
        <w:t xml:space="preserve">A </w:t>
      </w:r>
      <w:r w:rsidR="00485E80">
        <w:t>l’heure des JOP</w:t>
      </w:r>
      <w:r>
        <w:t xml:space="preserve"> 2024</w:t>
      </w:r>
      <w:r w:rsidR="00260DA9">
        <w:t>,</w:t>
      </w:r>
      <w:r>
        <w:t xml:space="preserve"> ce n’est pas plus et mieux d’EPS et de sport scolaire, c’est la suppression des enseignements EPS de complément et d’exploration en Lycée, l’abaissement</w:t>
      </w:r>
      <w:r w:rsidR="00260DA9">
        <w:t xml:space="preserve"> programmé de la voie</w:t>
      </w:r>
      <w:r>
        <w:t xml:space="preserve"> professionnelle donc la diminution d’heures d’EPS… et du coup</w:t>
      </w:r>
      <w:r w:rsidR="00260DA9">
        <w:t>,</w:t>
      </w:r>
      <w:r>
        <w:t xml:space="preserve"> de moyens pour l’AS.</w:t>
      </w:r>
      <w:r w:rsidR="00485E80">
        <w:t xml:space="preserve"> Cela ne nous convient pas pour répondre aux besoins des élèves.</w:t>
      </w:r>
    </w:p>
    <w:p w:rsidR="00485E80" w:rsidRDefault="00485E80" w:rsidP="007656B8">
      <w:pPr>
        <w:spacing w:after="0" w:line="240" w:lineRule="auto"/>
        <w:ind w:left="-284"/>
        <w:jc w:val="both"/>
      </w:pPr>
      <w:r>
        <w:t xml:space="preserve">Pour le moment, l’engagement des animateurs d’AS, des </w:t>
      </w:r>
      <w:proofErr w:type="spellStart"/>
      <w:r>
        <w:t>coordonateurs</w:t>
      </w:r>
      <w:proofErr w:type="spellEnd"/>
      <w:r>
        <w:t xml:space="preserve"> de districts, des cadres UNSS, des chefs d’établissements, des parents, des services d</w:t>
      </w:r>
      <w:r w:rsidR="00260DA9">
        <w:t>e</w:t>
      </w:r>
      <w:r>
        <w:t xml:space="preserve"> l’</w:t>
      </w:r>
      <w:r w:rsidR="00260DA9">
        <w:t>EN, des jeunes reste intact</w:t>
      </w:r>
      <w:r>
        <w:t>, mais cela ne va pas durer… les attaques sont lourdes.</w:t>
      </w:r>
    </w:p>
    <w:p w:rsidR="00485E80" w:rsidRDefault="00260DA9" w:rsidP="007656B8">
      <w:pPr>
        <w:spacing w:after="0" w:line="240" w:lineRule="auto"/>
        <w:ind w:left="-284"/>
        <w:jc w:val="both"/>
      </w:pPr>
      <w:r>
        <w:t>Un</w:t>
      </w:r>
      <w:r w:rsidR="00485E80">
        <w:t xml:space="preserve"> aparté sur la classe exceptionnelle, le non classement des Directeurs Adjoints UNSS dans le vivier fonctionnel est difficilement  compréhensible.</w:t>
      </w:r>
    </w:p>
    <w:p w:rsidR="00485E80" w:rsidRDefault="00485E80" w:rsidP="007656B8">
      <w:pPr>
        <w:spacing w:after="0" w:line="240" w:lineRule="auto"/>
        <w:ind w:left="-284"/>
        <w:jc w:val="both"/>
      </w:pPr>
      <w:r>
        <w:t xml:space="preserve">Nous réaffirmons la nécessité de </w:t>
      </w:r>
      <w:r w:rsidR="00260DA9">
        <w:t>préserv</w:t>
      </w:r>
      <w:r>
        <w:t>er le mercredi après-midi qui doit être libéré de tout cours ou devoir surveillé.</w:t>
      </w:r>
    </w:p>
    <w:p w:rsidR="00485E80" w:rsidRDefault="00260DA9" w:rsidP="007656B8">
      <w:pPr>
        <w:spacing w:after="0" w:line="240" w:lineRule="auto"/>
        <w:ind w:left="-284"/>
        <w:jc w:val="both"/>
      </w:pPr>
      <w:r>
        <w:t>Deux</w:t>
      </w:r>
      <w:r w:rsidR="00485E80">
        <w:t xml:space="preserve"> CRUNSS </w:t>
      </w:r>
      <w:r w:rsidR="00245DC9">
        <w:t>doivent être réunis chaque année. Cela doit permettre d’avoir un peu de temps sous la présidence du Directeur de l’Académie</w:t>
      </w:r>
      <w:r w:rsidR="005E2D25">
        <w:t>,</w:t>
      </w:r>
      <w:r w:rsidR="00245DC9">
        <w:t xml:space="preserve"> d’échanger sur le sport scolaire parisien.</w:t>
      </w:r>
      <w:r w:rsidR="00AD2DC1">
        <w:t xml:space="preserve"> Comment demander aux instances dans les établissements</w:t>
      </w:r>
      <w:r w:rsidR="00485E80">
        <w:t xml:space="preserve"> </w:t>
      </w:r>
      <w:r w:rsidR="00AD2DC1">
        <w:t>de fonctionner si l’instance académique ne le fait pas « dans les règles »</w:t>
      </w:r>
      <w:r w:rsidR="005E2D25">
        <w:t> ? A</w:t>
      </w:r>
      <w:r w:rsidR="00AD2DC1">
        <w:t xml:space="preserve"> Paris un seul CRUNSS aura été réuni.</w:t>
      </w:r>
    </w:p>
    <w:p w:rsidR="00AD2DC1" w:rsidRDefault="00AD2DC1" w:rsidP="007656B8">
      <w:pPr>
        <w:spacing w:after="0" w:line="240" w:lineRule="auto"/>
        <w:ind w:left="-284"/>
        <w:jc w:val="both"/>
      </w:pPr>
      <w:r>
        <w:t xml:space="preserve">Les IMPA des </w:t>
      </w:r>
      <w:proofErr w:type="spellStart"/>
      <w:r>
        <w:t>coordonateurs</w:t>
      </w:r>
      <w:proofErr w:type="spellEnd"/>
      <w:r>
        <w:t xml:space="preserve"> de districts </w:t>
      </w:r>
      <w:r w:rsidR="0027266C">
        <w:t xml:space="preserve">devraient être </w:t>
      </w:r>
      <w:proofErr w:type="gramStart"/>
      <w:r w:rsidR="0027266C">
        <w:t>augmentées</w:t>
      </w:r>
      <w:proofErr w:type="gramEnd"/>
      <w:r w:rsidR="0027266C">
        <w:t xml:space="preserve"> au vu</w:t>
      </w:r>
      <w:r>
        <w:t xml:space="preserve"> du travail réalisé. La coordination de district devrait pouvoir être assurée en allègement de service.</w:t>
      </w:r>
    </w:p>
    <w:p w:rsidR="00AD2DC1" w:rsidRDefault="00AD2DC1" w:rsidP="007656B8">
      <w:pPr>
        <w:spacing w:after="0" w:line="240" w:lineRule="auto"/>
        <w:ind w:left="-284"/>
        <w:jc w:val="both"/>
      </w:pPr>
      <w:r>
        <w:t xml:space="preserve">Au sujet de l’augmentation de 10% du prix des licences à la rentrée 2018 votée à l’AG </w:t>
      </w:r>
      <w:r w:rsidR="0027266C">
        <w:t>nationale de l’</w:t>
      </w:r>
      <w:r>
        <w:t>UNSS nous sommes en complet désaccord</w:t>
      </w:r>
      <w:r w:rsidR="007656B8">
        <w:t>, cela va à l’encontre du PNDSS qui parle d’accessibilité à tous. Cela va placer  les établissements devant des choix difficiles. Le contrat doit pouvoir être remis en cause. Il faut revenir à la possibilité des prises de licences individuelles. Il faut également diminuer le % de licenciés dans les contrats.</w:t>
      </w:r>
    </w:p>
    <w:p w:rsidR="007656B8" w:rsidRDefault="007656B8" w:rsidP="007656B8">
      <w:pPr>
        <w:spacing w:after="0" w:line="240" w:lineRule="auto"/>
        <w:ind w:left="-284"/>
        <w:jc w:val="both"/>
      </w:pPr>
      <w:r>
        <w:t xml:space="preserve">Nous tenons à remercier les personnels et cadres de l’UNSS et Christophe </w:t>
      </w:r>
      <w:proofErr w:type="spellStart"/>
      <w:r>
        <w:t>Norcini</w:t>
      </w:r>
      <w:proofErr w:type="spellEnd"/>
      <w:r>
        <w:t xml:space="preserve"> pour leur engagement.</w:t>
      </w:r>
    </w:p>
    <w:p w:rsidR="007656B8" w:rsidRDefault="0027266C" w:rsidP="007656B8">
      <w:pPr>
        <w:spacing w:after="0" w:line="240" w:lineRule="auto"/>
        <w:ind w:left="-284"/>
        <w:jc w:val="both"/>
      </w:pPr>
      <w:r>
        <w:t xml:space="preserve">Nous ferons les </w:t>
      </w:r>
      <w:bookmarkStart w:id="0" w:name="_GoBack"/>
      <w:bookmarkEnd w:id="0"/>
      <w:r w:rsidR="007656B8">
        <w:t>remarques sur les différents éléments de l’ordre du jour. Il manque les documents préparatoires sur la 2ème partie.</w:t>
      </w:r>
    </w:p>
    <w:p w:rsidR="000915BA" w:rsidRDefault="000915BA"/>
    <w:sectPr w:rsidR="0009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F5"/>
    <w:rsid w:val="000915BA"/>
    <w:rsid w:val="000B4966"/>
    <w:rsid w:val="00223679"/>
    <w:rsid w:val="00245DC9"/>
    <w:rsid w:val="00260DA9"/>
    <w:rsid w:val="0027266C"/>
    <w:rsid w:val="00485E80"/>
    <w:rsid w:val="005E2D25"/>
    <w:rsid w:val="007656B8"/>
    <w:rsid w:val="00AD2DC1"/>
    <w:rsid w:val="00BC094E"/>
    <w:rsid w:val="00BD673F"/>
    <w:rsid w:val="00DA3BF5"/>
    <w:rsid w:val="00E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paris</cp:lastModifiedBy>
  <cp:revision>11</cp:revision>
  <cp:lastPrinted>2018-08-30T13:01:00Z</cp:lastPrinted>
  <dcterms:created xsi:type="dcterms:W3CDTF">2018-08-30T12:33:00Z</dcterms:created>
  <dcterms:modified xsi:type="dcterms:W3CDTF">2018-08-30T13:53:00Z</dcterms:modified>
</cp:coreProperties>
</file>